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A208E" w14:textId="77777777" w:rsidR="00C56542" w:rsidRPr="006F4A94" w:rsidRDefault="00C56542" w:rsidP="00C56542">
      <w:pPr>
        <w:shd w:val="clear" w:color="auto" w:fill="FFFFFF"/>
        <w:jc w:val="right"/>
        <w:rPr>
          <w:rFonts w:ascii="Poppins" w:hAnsi="Poppins" w:cs="Poppins"/>
          <w:sz w:val="16"/>
          <w:szCs w:val="16"/>
        </w:rPr>
      </w:pPr>
      <w:r w:rsidRPr="006F4A94">
        <w:rPr>
          <w:rFonts w:ascii="Poppins" w:hAnsi="Poppins" w:cs="Poppins"/>
          <w:sz w:val="16"/>
          <w:szCs w:val="16"/>
        </w:rPr>
        <w:t>zał</w:t>
      </w:r>
      <w:r w:rsidRPr="006F4A94">
        <w:rPr>
          <w:rFonts w:ascii="Poppins" w:eastAsia="TimesNewRoman" w:hAnsi="Poppins" w:cs="Poppins"/>
          <w:sz w:val="16"/>
          <w:szCs w:val="16"/>
        </w:rPr>
        <w:t>ą</w:t>
      </w:r>
      <w:r w:rsidRPr="006F4A94">
        <w:rPr>
          <w:rFonts w:ascii="Poppins" w:hAnsi="Poppins" w:cs="Poppins"/>
          <w:sz w:val="16"/>
          <w:szCs w:val="16"/>
        </w:rPr>
        <w:t>cznik nr 3</w:t>
      </w:r>
    </w:p>
    <w:p w14:paraId="294FAA59" w14:textId="49226245" w:rsidR="00C56542" w:rsidRPr="006F4A94" w:rsidRDefault="00C56542" w:rsidP="00CE295C">
      <w:pPr>
        <w:shd w:val="clear" w:color="auto" w:fill="FFFFFF"/>
        <w:spacing w:after="240"/>
        <w:jc w:val="both"/>
        <w:rPr>
          <w:rFonts w:ascii="Poppins" w:hAnsi="Poppins" w:cs="Poppins"/>
          <w:sz w:val="16"/>
          <w:szCs w:val="16"/>
        </w:rPr>
      </w:pPr>
      <w:r w:rsidRPr="006F4A94">
        <w:rPr>
          <w:rFonts w:ascii="Poppins" w:hAnsi="Poppins" w:cs="Poppins"/>
          <w:sz w:val="16"/>
          <w:szCs w:val="16"/>
        </w:rPr>
        <w:t>do zarządzenia  Nr 12/2024 Dyrektora ZGM z dnia 22.11.2024 r.</w:t>
      </w:r>
    </w:p>
    <w:p w14:paraId="68CB57C3" w14:textId="7CDBDC7A" w:rsidR="003618E9" w:rsidRPr="003618E9" w:rsidRDefault="00313BCE" w:rsidP="003618E9">
      <w:pPr>
        <w:jc w:val="both"/>
        <w:rPr>
          <w:rFonts w:ascii="Poppins" w:hAnsi="Poppins" w:cs="Poppins"/>
          <w:b/>
          <w:bCs/>
          <w:sz w:val="24"/>
          <w:szCs w:val="24"/>
        </w:rPr>
      </w:pPr>
      <w:r w:rsidRPr="00732D91">
        <w:rPr>
          <w:rFonts w:ascii="Poppins" w:hAnsi="Poppins" w:cs="Poppins"/>
          <w:b/>
          <w:bCs/>
          <w:sz w:val="24"/>
          <w:szCs w:val="24"/>
        </w:rPr>
        <w:t xml:space="preserve">Regulamin zapytania ofertowego dotyczącego wyłonienia wykonawcy robót budowlanych polegających na  </w:t>
      </w:r>
      <w:r w:rsidR="007C77ED">
        <w:rPr>
          <w:rFonts w:ascii="Poppins" w:hAnsi="Poppins" w:cs="Poppins"/>
          <w:b/>
          <w:bCs/>
          <w:sz w:val="24"/>
          <w:szCs w:val="24"/>
        </w:rPr>
        <w:t>remoncie</w:t>
      </w:r>
      <w:r w:rsidR="003F58E0">
        <w:rPr>
          <w:rFonts w:ascii="Poppins" w:hAnsi="Poppins" w:cs="Poppins"/>
          <w:b/>
          <w:bCs/>
          <w:sz w:val="24"/>
          <w:szCs w:val="24"/>
        </w:rPr>
        <w:t xml:space="preserve"> klatki schodowej </w:t>
      </w:r>
      <w:r w:rsidR="007C77ED">
        <w:rPr>
          <w:rFonts w:ascii="Poppins" w:hAnsi="Poppins" w:cs="Poppins"/>
          <w:b/>
          <w:bCs/>
          <w:sz w:val="24"/>
          <w:szCs w:val="24"/>
        </w:rPr>
        <w:t xml:space="preserve"> przy</w:t>
      </w:r>
      <w:r w:rsidR="003F58E0">
        <w:rPr>
          <w:rFonts w:ascii="Poppins" w:hAnsi="Poppins" w:cs="Poppins"/>
          <w:b/>
          <w:bCs/>
          <w:sz w:val="24"/>
          <w:szCs w:val="24"/>
        </w:rPr>
        <w:t xml:space="preserve">              </w:t>
      </w:r>
      <w:r w:rsidR="007C77ED">
        <w:rPr>
          <w:rFonts w:ascii="Poppins" w:hAnsi="Poppins" w:cs="Poppins"/>
          <w:b/>
          <w:bCs/>
          <w:sz w:val="24"/>
          <w:szCs w:val="24"/>
        </w:rPr>
        <w:t xml:space="preserve"> ul. </w:t>
      </w:r>
      <w:r w:rsidR="003F58E0">
        <w:rPr>
          <w:rFonts w:ascii="Poppins" w:hAnsi="Poppins" w:cs="Poppins"/>
          <w:b/>
          <w:bCs/>
          <w:sz w:val="24"/>
          <w:szCs w:val="24"/>
        </w:rPr>
        <w:t xml:space="preserve">Słoneczna 83 </w:t>
      </w:r>
    </w:p>
    <w:p w14:paraId="5BF2C6C7" w14:textId="77777777" w:rsidR="003618E9" w:rsidRDefault="003618E9" w:rsidP="003618E9">
      <w:pPr>
        <w:jc w:val="center"/>
        <w:rPr>
          <w:rFonts w:ascii="Poppins" w:hAnsi="Poppins" w:cs="Poppins"/>
          <w:szCs w:val="24"/>
        </w:rPr>
      </w:pPr>
    </w:p>
    <w:p w14:paraId="7505683B" w14:textId="0BC0B290" w:rsidR="00705F1D" w:rsidRPr="00705F1D" w:rsidRDefault="00705F1D" w:rsidP="003618E9">
      <w:pPr>
        <w:jc w:val="both"/>
        <w:rPr>
          <w:rFonts w:ascii="Poppins" w:hAnsi="Poppins" w:cs="Poppins"/>
          <w:b/>
          <w:bCs/>
          <w:sz w:val="24"/>
          <w:szCs w:val="24"/>
        </w:rPr>
      </w:pPr>
    </w:p>
    <w:p w14:paraId="2694DD7F"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W postępowaniu wykonawca może złożyć za pośrednictwem platformy zakupowej jedną ofertę sporządzoną w języku polskim.</w:t>
      </w:r>
    </w:p>
    <w:p w14:paraId="38020669" w14:textId="77777777" w:rsidR="00C56542" w:rsidRPr="0010575D" w:rsidRDefault="00C56542" w:rsidP="00C56542">
      <w:pPr>
        <w:pStyle w:val="Akapitzlist"/>
        <w:numPr>
          <w:ilvl w:val="0"/>
          <w:numId w:val="1"/>
        </w:numPr>
        <w:suppressAutoHyphens/>
        <w:spacing w:after="120"/>
        <w:contextualSpacing w:val="0"/>
        <w:jc w:val="both"/>
        <w:rPr>
          <w:rFonts w:ascii="Poppins" w:hAnsi="Poppins" w:cs="Poppins"/>
        </w:rPr>
      </w:pPr>
      <w:r w:rsidRPr="0010575D">
        <w:rPr>
          <w:rFonts w:ascii="Poppins" w:hAnsi="Poppins" w:cs="Poppins"/>
        </w:rPr>
        <w:t>Wykonawca ponosi wszelkie skutki nieprawidłowego złożenia oferty, w tym w szczególności: w niewłaściwym postępowaniu na platformie zakupowej, w niewłaściwym miejscu na platformie zakupowej, w niewłaściwym terminie, itp.</w:t>
      </w:r>
    </w:p>
    <w:p w14:paraId="40BCC99A"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Oferta musi zawierać wszelkie dane umożliwiające weryfikację wykonawcy, jak również wszelkie załączniki i oświadczenia wymagane przez Wspólnotę Mieszkaniową w zapytaniu ofertowym.</w:t>
      </w:r>
    </w:p>
    <w:p w14:paraId="258F0285"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Nie dopuszcza się możliwości składania ofert wariantowych .</w:t>
      </w:r>
    </w:p>
    <w:p w14:paraId="7A607F88"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Zamawiający dopuszcza możliwość zastosowania rozwiązań równoważnych/zamiennych w stosunku do wymaganych w zapytaniu ofertowym, za pisemną akceptacją wspólnoty mieszkaniowej i przy braku zastrzeżeń Inspektora Nadzoru.</w:t>
      </w:r>
    </w:p>
    <w:p w14:paraId="63096EBA" w14:textId="1138C735"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Co do zasady, oferty niekompletne, nieumożliwiające zidentyfikowania wykonawcy podlegają odrzuceniu, chyba że Wspólnota Mieszkaniowa postanowi inaczej.</w:t>
      </w:r>
    </w:p>
    <w:p w14:paraId="7BE9CC2E"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Oferta niezgodna z opisem przedmiotu zamówienia wskazanym w zapytaniu ofertowym, z zastrzeżeniem ust. 22 i 23 poniżej, podlega odrzuceniu.</w:t>
      </w:r>
    </w:p>
    <w:p w14:paraId="534AEF28"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O odrzuceniu ofert Zamawiający poinformuje wykonawców, których oferty zostały odrzucone podając uzasadnienie, nie później niż wraz z informacją o wyborze oferty najkorzystniejszej.</w:t>
      </w:r>
    </w:p>
    <w:p w14:paraId="7CC5A17A" w14:textId="4E0FFED5" w:rsidR="00C56542" w:rsidRPr="00313BCE" w:rsidRDefault="00C56542" w:rsidP="00C56542">
      <w:pPr>
        <w:numPr>
          <w:ilvl w:val="0"/>
          <w:numId w:val="1"/>
        </w:numPr>
        <w:adjustRightInd w:val="0"/>
        <w:spacing w:after="120"/>
        <w:rPr>
          <w:rFonts w:ascii="Poppins" w:hAnsi="Poppins" w:cs="Poppins"/>
          <w:bCs/>
        </w:rPr>
      </w:pPr>
      <w:r w:rsidRPr="00313BCE">
        <w:rPr>
          <w:rFonts w:ascii="Poppins" w:hAnsi="Poppins" w:cs="Poppins"/>
          <w:bCs/>
        </w:rPr>
        <w:t>Oferty złożone po terminie</w:t>
      </w:r>
      <w:r w:rsidR="00CE295C">
        <w:rPr>
          <w:rFonts w:ascii="Poppins" w:hAnsi="Poppins" w:cs="Poppins"/>
          <w:bCs/>
        </w:rPr>
        <w:t xml:space="preserve"> nie</w:t>
      </w:r>
      <w:r w:rsidRPr="00313BCE">
        <w:rPr>
          <w:rFonts w:ascii="Poppins" w:hAnsi="Poppins" w:cs="Poppins"/>
          <w:bCs/>
        </w:rPr>
        <w:t xml:space="preserve"> będą rozpatrywane</w:t>
      </w:r>
      <w:r w:rsidR="00CE295C">
        <w:rPr>
          <w:rFonts w:ascii="Poppins" w:hAnsi="Poppins" w:cs="Poppins"/>
          <w:bCs/>
        </w:rPr>
        <w:t>.</w:t>
      </w:r>
    </w:p>
    <w:p w14:paraId="44D0BE41" w14:textId="4065ECB9" w:rsidR="00C56542" w:rsidRPr="00313BCE" w:rsidRDefault="00C56542" w:rsidP="00C56542">
      <w:pPr>
        <w:numPr>
          <w:ilvl w:val="0"/>
          <w:numId w:val="1"/>
        </w:numPr>
        <w:adjustRightInd w:val="0"/>
        <w:spacing w:after="120"/>
        <w:rPr>
          <w:rFonts w:ascii="Poppins" w:hAnsi="Poppins" w:cs="Poppins"/>
          <w:bCs/>
        </w:rPr>
      </w:pPr>
      <w:r w:rsidRPr="00313BCE">
        <w:rPr>
          <w:rFonts w:ascii="Poppins" w:hAnsi="Poppins" w:cs="Poppins"/>
          <w:bCs/>
        </w:rPr>
        <w:t xml:space="preserve">Szczegółowej weryfikacji będą podlegać </w:t>
      </w:r>
      <w:r w:rsidR="00CE295C">
        <w:rPr>
          <w:rFonts w:ascii="Poppins" w:hAnsi="Poppins" w:cs="Poppins"/>
          <w:bCs/>
        </w:rPr>
        <w:t xml:space="preserve">wybrane </w:t>
      </w:r>
      <w:r w:rsidRPr="00313BCE">
        <w:rPr>
          <w:rFonts w:ascii="Poppins" w:hAnsi="Poppins" w:cs="Poppins"/>
          <w:bCs/>
        </w:rPr>
        <w:t>oferty.</w:t>
      </w:r>
    </w:p>
    <w:p w14:paraId="171FA40C" w14:textId="77777777" w:rsidR="00C56542" w:rsidRPr="00313BCE" w:rsidRDefault="00C56542" w:rsidP="00C56542">
      <w:pPr>
        <w:numPr>
          <w:ilvl w:val="0"/>
          <w:numId w:val="1"/>
        </w:numPr>
        <w:adjustRightInd w:val="0"/>
        <w:spacing w:after="120"/>
        <w:rPr>
          <w:rFonts w:ascii="Poppins" w:hAnsi="Poppins" w:cs="Poppins"/>
          <w:bCs/>
        </w:rPr>
      </w:pPr>
      <w:r w:rsidRPr="00313BCE">
        <w:rPr>
          <w:rFonts w:ascii="Poppins" w:hAnsi="Poppins" w:cs="Poppins"/>
          <w:bCs/>
        </w:rPr>
        <w:t>Zamówienie zostanie udzielone Wykonawcy, którego oferta nie będzie podlegała odrzuceniu, a który zaoferuje najkorzystniejsze warunki zgodnie z kryteriami oceny ofert przewidzianymi w treści zaproszenia.</w:t>
      </w:r>
    </w:p>
    <w:p w14:paraId="33E5316F" w14:textId="77777777" w:rsidR="00C56542" w:rsidRPr="00313BCE" w:rsidRDefault="00C56542" w:rsidP="00C56542">
      <w:pPr>
        <w:numPr>
          <w:ilvl w:val="0"/>
          <w:numId w:val="1"/>
        </w:numPr>
        <w:adjustRightInd w:val="0"/>
        <w:spacing w:after="120"/>
        <w:rPr>
          <w:rFonts w:ascii="Poppins" w:hAnsi="Poppins" w:cs="Poppins"/>
          <w:bCs/>
        </w:rPr>
      </w:pPr>
      <w:r w:rsidRPr="00313BCE">
        <w:rPr>
          <w:rFonts w:ascii="Poppins" w:hAnsi="Poppins" w:cs="Poppins"/>
          <w:bCs/>
        </w:rPr>
        <w:t xml:space="preserve">Dopuszcza się możliwość negocjowania warunków oferty, w szczególności w sytuacji, gdy przekracza ona możliwości finansowe Zamawiającego (negocjuje pełnomocnik wspólnoty lub zarząd). </w:t>
      </w:r>
    </w:p>
    <w:p w14:paraId="7AA63754" w14:textId="38C77CED" w:rsidR="00C56542" w:rsidRPr="00313BCE" w:rsidRDefault="00C56542" w:rsidP="00C56542">
      <w:pPr>
        <w:numPr>
          <w:ilvl w:val="0"/>
          <w:numId w:val="1"/>
        </w:numPr>
        <w:adjustRightInd w:val="0"/>
        <w:spacing w:after="120"/>
        <w:rPr>
          <w:rFonts w:ascii="Poppins" w:hAnsi="Poppins" w:cs="Poppins"/>
          <w:bCs/>
        </w:rPr>
      </w:pPr>
      <w:r w:rsidRPr="00313BCE">
        <w:rPr>
          <w:rFonts w:ascii="Poppins" w:hAnsi="Poppins" w:cs="Poppins"/>
          <w:bCs/>
        </w:rPr>
        <w:t>Negocjacje będą prowadzone</w:t>
      </w:r>
    </w:p>
    <w:p w14:paraId="49478EDF" w14:textId="5B350C1A" w:rsidR="00C56542" w:rsidRPr="00313BCE" w:rsidRDefault="00C56542" w:rsidP="00C56542">
      <w:pPr>
        <w:numPr>
          <w:ilvl w:val="1"/>
          <w:numId w:val="1"/>
        </w:numPr>
        <w:adjustRightInd w:val="0"/>
        <w:spacing w:after="120"/>
        <w:rPr>
          <w:rFonts w:ascii="Poppins" w:hAnsi="Poppins" w:cs="Poppins"/>
          <w:bCs/>
        </w:rPr>
      </w:pPr>
      <w:r w:rsidRPr="00313BCE">
        <w:rPr>
          <w:rFonts w:ascii="Poppins" w:hAnsi="Poppins" w:cs="Poppins"/>
          <w:bCs/>
        </w:rPr>
        <w:t>bezpośrednio, tj. podczas zebrania z właścicielami lub poza zebraniem osobiście</w:t>
      </w:r>
      <w:r w:rsidR="00553A58">
        <w:rPr>
          <w:rFonts w:ascii="Poppins" w:hAnsi="Poppins" w:cs="Poppins"/>
          <w:bCs/>
        </w:rPr>
        <w:t>.</w:t>
      </w:r>
    </w:p>
    <w:p w14:paraId="5940E929"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lastRenderedPageBreak/>
        <w:t>Jeżeli przedmiotem negocjacji jest wyłącznie cena, negocjuje się ze wskazanymi przez WM wykonawcami, nie mniej niż 2. Jeżeli liczba ofert jest mniejsza lub równa 2, negocjacje prowadzi się ze wszystkimi wykonawcami.</w:t>
      </w:r>
    </w:p>
    <w:p w14:paraId="2A3DB62B"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Jeżeli przedmiotem negocjacji są inne niż cena istotne warunki realizacji zamówienia, w szczególności: zakres zamówienia, warunki płatności, termin wykonania – negocjuje się ze wszystkimi wykonawcami, którzy złożyli oferty. Ewentualne zmiany w tym zakresie w odniesieniu do pierwotnych warunków wymagają akceptacji WM.</w:t>
      </w:r>
    </w:p>
    <w:p w14:paraId="1C825528"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Prowadzone negocjacje maja charakter poufny.</w:t>
      </w:r>
    </w:p>
    <w:p w14:paraId="40956027"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 xml:space="preserve">Dopuszcza się przesunięcie terminu składania ofert, w sytuacji braku ofert na co najmniej 20 minut przed upływem uprzednio wyznaczonego. </w:t>
      </w:r>
    </w:p>
    <w:p w14:paraId="3D9693F5"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Niezwłocznie po otwarciu ofert Zamawiający  udostępni wykonawcom, którzy złożyli oferty, na platformie zakupowej informację z otwarcia ofert zawierającą min. nazwy i adresy wykonawców oraz oferowane ceny.</w:t>
      </w:r>
    </w:p>
    <w:p w14:paraId="54B6E509"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W sytuacji, gdy cena jest jedynym kryterium oceny ofert, jeżeli nie będzie można wybrać oferty ze względu na fakt, że kilka ofert zostanie złożonych z tą samą ceną, Zamawiający może wezwać wykonawców do złożenia ofert dodatkowych lub przeprowadzić z nimi negocjacje. Do negocjacji mają zastosowanie postanowienia pkt 13-16 powyżej.</w:t>
      </w:r>
    </w:p>
    <w:p w14:paraId="077D6B9B"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Zamawiający dopuszcza możliwość zmiany kryteriów oceny po uzyskaniu ofert. Decyzję w tym zakresie podejmie WM, Wykonawcy zostaną o tym fakcie poinformowani, a w razie potrzeby zostaną wezwani do złożenia dodatkowych oświadczeń lub dokumentów, jak również o innych warunkach, co do których właściciele przewidują szczególny sposób postępowania.</w:t>
      </w:r>
    </w:p>
    <w:p w14:paraId="7195CAE9"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 xml:space="preserve"> Zamawiający może poprawić w ofercie oczywiste omyłki pisarskie i oczywiste omyłki rachunkowe.</w:t>
      </w:r>
    </w:p>
    <w:p w14:paraId="1A962FED"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 xml:space="preserve"> Zamawiający może poprawić w ofercie inne omyłki polegające na niezgodności treści oferty z treścią zaproszenia za zgodą wykonawcy uzyskaną najpóźniej przed podpisaniem umowy.</w:t>
      </w:r>
    </w:p>
    <w:p w14:paraId="0EB96480" w14:textId="7EA66A92"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Niezwłocznie po wyborze oferty najkorzystniejszej, zamieszczona zostanie informacja zwierająca co najmniej nazwę i adres wykonawcy i wartość oferty. W przypadku gdy podczas negocjacji dojdzie do zmiany warunków realizacji zamówienia, zamieszczone zostaną informacje o tych zmianach.</w:t>
      </w:r>
    </w:p>
    <w:p w14:paraId="79514E53"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Nie później niż w terminie dwóch tygodni od wyboru wykonawcy zostanie przygotowana i podpisana umowa z wykonawcą.</w:t>
      </w:r>
    </w:p>
    <w:p w14:paraId="3F36BF76"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Kierownik ADM informuje wykonawcę o terminie podpisania umowy. W przypadku niepodpisania umowy przez wykonawcę, umowa może zostać podpisana z kolejnym wykonawcą, którego oferta uzyskała status najkorzystniejszej. Warunkiem jest wyrażenie przez tego wykonawcę zgody na realizację zadania zgodnie ze złożoną ofertą oraz dysponowanie odpowiednimi środkami finansowymi przez Wspólnotę Mieszkaniową. W przeciwnym wypadku zostanie przeprowadzone nowe postępowanie.</w:t>
      </w:r>
    </w:p>
    <w:p w14:paraId="325BEEB4"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lastRenderedPageBreak/>
        <w:t>Zamawiający może unieważnić postępowanie w każdym czasie bez podania przyczyn, bądź z ich podaniem, w szczególności w przypadku kiedy najkorzystniejsza oferta będzie wyższa od możliwości finansowych Zamawiającego</w:t>
      </w:r>
    </w:p>
    <w:p w14:paraId="0BE14B42" w14:textId="77777777" w:rsidR="00C56542" w:rsidRPr="0010575D" w:rsidRDefault="00C56542" w:rsidP="00C56542">
      <w:pPr>
        <w:numPr>
          <w:ilvl w:val="0"/>
          <w:numId w:val="1"/>
        </w:numPr>
        <w:adjustRightInd w:val="0"/>
        <w:spacing w:after="120"/>
        <w:rPr>
          <w:rFonts w:ascii="Poppins" w:hAnsi="Poppins" w:cs="Poppins"/>
          <w:b/>
        </w:rPr>
      </w:pPr>
      <w:r w:rsidRPr="0010575D">
        <w:rPr>
          <w:rFonts w:ascii="Poppins" w:hAnsi="Poppins" w:cs="Poppins"/>
          <w:b/>
        </w:rPr>
        <w:t xml:space="preserve">Uczestnikom postępowania nie przysługuje prawo do składania jakichkolwiek </w:t>
      </w:r>
      <w:proofErr w:type="spellStart"/>
      <w:r w:rsidRPr="0010575D">
        <w:rPr>
          <w:rFonts w:ascii="Poppins" w:hAnsi="Poppins" w:cs="Poppins"/>
          <w:b/>
        </w:rPr>
        <w:t>odwołań</w:t>
      </w:r>
      <w:proofErr w:type="spellEnd"/>
      <w:r w:rsidRPr="0010575D">
        <w:rPr>
          <w:rFonts w:ascii="Poppins" w:hAnsi="Poppins" w:cs="Poppins"/>
          <w:b/>
        </w:rPr>
        <w:t>.</w:t>
      </w:r>
    </w:p>
    <w:p w14:paraId="5D10CA9D" w14:textId="77777777" w:rsidR="00C56542" w:rsidRPr="0010575D" w:rsidRDefault="00C56542" w:rsidP="00C56542">
      <w:pPr>
        <w:numPr>
          <w:ilvl w:val="0"/>
          <w:numId w:val="1"/>
        </w:numPr>
        <w:adjustRightInd w:val="0"/>
        <w:spacing w:after="120"/>
        <w:rPr>
          <w:rFonts w:ascii="Poppins" w:hAnsi="Poppins" w:cs="Poppins"/>
          <w:b/>
        </w:rPr>
      </w:pPr>
      <w:r w:rsidRPr="0010575D">
        <w:rPr>
          <w:rFonts w:ascii="Poppins" w:hAnsi="Poppins" w:cs="Poppins"/>
          <w:b/>
        </w:rPr>
        <w:t xml:space="preserve"> Zamawiający przewiduje również możliwość zmiany lub odwołania warunków zapytania, stosownie do art. 70</w:t>
      </w:r>
      <w:r w:rsidRPr="00705F1D">
        <w:rPr>
          <w:rFonts w:ascii="Poppins" w:hAnsi="Poppins" w:cs="Poppins"/>
          <w:b/>
          <w:vertAlign w:val="superscript"/>
        </w:rPr>
        <w:t>1</w:t>
      </w:r>
      <w:r w:rsidRPr="0010575D">
        <w:rPr>
          <w:rFonts w:ascii="Poppins" w:hAnsi="Poppins" w:cs="Poppins"/>
          <w:b/>
        </w:rPr>
        <w:t xml:space="preserve"> Kodeksu Cywilnego</w:t>
      </w:r>
    </w:p>
    <w:p w14:paraId="6839C63E" w14:textId="619FC7CD" w:rsidR="00C56542" w:rsidRPr="00313BCE" w:rsidRDefault="00C56542" w:rsidP="00C56542">
      <w:pPr>
        <w:numPr>
          <w:ilvl w:val="0"/>
          <w:numId w:val="1"/>
        </w:numPr>
        <w:adjustRightInd w:val="0"/>
        <w:spacing w:after="120"/>
        <w:rPr>
          <w:rFonts w:ascii="Poppins" w:hAnsi="Poppins" w:cs="Poppins"/>
          <w:bCs/>
          <w:i/>
          <w:iCs/>
        </w:rPr>
      </w:pPr>
      <w:r w:rsidRPr="00313BCE">
        <w:rPr>
          <w:rFonts w:ascii="Poppins" w:hAnsi="Poppins" w:cs="Poppins"/>
          <w:bCs/>
          <w:i/>
          <w:iCs/>
        </w:rPr>
        <w:t xml:space="preserve">O ile WM zdecyduje i zastrzeże to pisemnie w treści protokołu z zebrania lub uchwale, może zdecydować również o tym, że: </w:t>
      </w:r>
      <w:r w:rsidR="00BB2CF6">
        <w:rPr>
          <w:rFonts w:ascii="Poppins" w:hAnsi="Poppins" w:cs="Poppins"/>
          <w:bCs/>
          <w:i/>
          <w:iCs/>
        </w:rPr>
        <w:t>-</w:t>
      </w:r>
    </w:p>
    <w:p w14:paraId="316C6100" w14:textId="77777777" w:rsidR="00B4657D" w:rsidRDefault="00B4657D"/>
    <w:sectPr w:rsidR="00B465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oppins">
    <w:panose1 w:val="00000500000000000000"/>
    <w:charset w:val="EE"/>
    <w:family w:val="auto"/>
    <w:pitch w:val="variable"/>
    <w:sig w:usb0="00008007" w:usb1="00000000" w:usb2="00000000" w:usb3="00000000" w:csb0="00000093"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FC12B3"/>
    <w:multiLevelType w:val="hybridMultilevel"/>
    <w:tmpl w:val="44DE8B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10150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542"/>
    <w:rsid w:val="000B2956"/>
    <w:rsid w:val="002B0871"/>
    <w:rsid w:val="002C7494"/>
    <w:rsid w:val="00313BCE"/>
    <w:rsid w:val="003618E9"/>
    <w:rsid w:val="0039234F"/>
    <w:rsid w:val="003B0261"/>
    <w:rsid w:val="003B479B"/>
    <w:rsid w:val="003F4266"/>
    <w:rsid w:val="003F58E0"/>
    <w:rsid w:val="0042798F"/>
    <w:rsid w:val="00441817"/>
    <w:rsid w:val="004E52B4"/>
    <w:rsid w:val="00553A58"/>
    <w:rsid w:val="005871A4"/>
    <w:rsid w:val="006C3264"/>
    <w:rsid w:val="00705F1D"/>
    <w:rsid w:val="00760590"/>
    <w:rsid w:val="007C77ED"/>
    <w:rsid w:val="00850C59"/>
    <w:rsid w:val="00944BA3"/>
    <w:rsid w:val="00976934"/>
    <w:rsid w:val="00990107"/>
    <w:rsid w:val="00A0457B"/>
    <w:rsid w:val="00A2766C"/>
    <w:rsid w:val="00AC7381"/>
    <w:rsid w:val="00B4657D"/>
    <w:rsid w:val="00BA6AA9"/>
    <w:rsid w:val="00BB2CF6"/>
    <w:rsid w:val="00BD2996"/>
    <w:rsid w:val="00C56542"/>
    <w:rsid w:val="00C86AF6"/>
    <w:rsid w:val="00CA1BB9"/>
    <w:rsid w:val="00CE29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629EA"/>
  <w15:chartTrackingRefBased/>
  <w15:docId w15:val="{74384E90-AD28-423E-B62A-F50794EAB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6542"/>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C5654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C5654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5654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5654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5654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5654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5654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5654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5654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5654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5654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5654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5654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5654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5654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5654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5654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56542"/>
    <w:rPr>
      <w:rFonts w:eastAsiaTheme="majorEastAsia" w:cstheme="majorBidi"/>
      <w:color w:val="272727" w:themeColor="text1" w:themeTint="D8"/>
    </w:rPr>
  </w:style>
  <w:style w:type="paragraph" w:styleId="Tytu">
    <w:name w:val="Title"/>
    <w:basedOn w:val="Normalny"/>
    <w:next w:val="Normalny"/>
    <w:link w:val="TytuZnak"/>
    <w:uiPriority w:val="10"/>
    <w:qFormat/>
    <w:rsid w:val="00C5654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5654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5654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5654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56542"/>
    <w:pPr>
      <w:spacing w:before="160"/>
      <w:jc w:val="center"/>
    </w:pPr>
    <w:rPr>
      <w:i/>
      <w:iCs/>
      <w:color w:val="404040" w:themeColor="text1" w:themeTint="BF"/>
    </w:rPr>
  </w:style>
  <w:style w:type="character" w:customStyle="1" w:styleId="CytatZnak">
    <w:name w:val="Cytat Znak"/>
    <w:basedOn w:val="Domylnaczcionkaakapitu"/>
    <w:link w:val="Cytat"/>
    <w:uiPriority w:val="29"/>
    <w:rsid w:val="00C56542"/>
    <w:rPr>
      <w:i/>
      <w:iCs/>
      <w:color w:val="404040" w:themeColor="text1" w:themeTint="BF"/>
    </w:rPr>
  </w:style>
  <w:style w:type="paragraph" w:styleId="Akapitzlist">
    <w:name w:val="List Paragraph"/>
    <w:basedOn w:val="Normalny"/>
    <w:uiPriority w:val="34"/>
    <w:qFormat/>
    <w:rsid w:val="00C56542"/>
    <w:pPr>
      <w:ind w:left="720"/>
      <w:contextualSpacing/>
    </w:pPr>
  </w:style>
  <w:style w:type="character" w:styleId="Wyrnienieintensywne">
    <w:name w:val="Intense Emphasis"/>
    <w:basedOn w:val="Domylnaczcionkaakapitu"/>
    <w:uiPriority w:val="21"/>
    <w:qFormat/>
    <w:rsid w:val="00C56542"/>
    <w:rPr>
      <w:i/>
      <w:iCs/>
      <w:color w:val="2F5496" w:themeColor="accent1" w:themeShade="BF"/>
    </w:rPr>
  </w:style>
  <w:style w:type="paragraph" w:styleId="Cytatintensywny">
    <w:name w:val="Intense Quote"/>
    <w:basedOn w:val="Normalny"/>
    <w:next w:val="Normalny"/>
    <w:link w:val="CytatintensywnyZnak"/>
    <w:uiPriority w:val="30"/>
    <w:qFormat/>
    <w:rsid w:val="00C5654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56542"/>
    <w:rPr>
      <w:i/>
      <w:iCs/>
      <w:color w:val="2F5496" w:themeColor="accent1" w:themeShade="BF"/>
    </w:rPr>
  </w:style>
  <w:style w:type="character" w:styleId="Odwoanieintensywne">
    <w:name w:val="Intense Reference"/>
    <w:basedOn w:val="Domylnaczcionkaakapitu"/>
    <w:uiPriority w:val="32"/>
    <w:qFormat/>
    <w:rsid w:val="00C5654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768</Words>
  <Characters>4608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Sobolewska</dc:creator>
  <cp:keywords/>
  <dc:description/>
  <cp:lastModifiedBy>Kinga Kurkowska</cp:lastModifiedBy>
  <cp:revision>4</cp:revision>
  <cp:lastPrinted>2026-01-13T08:59:00Z</cp:lastPrinted>
  <dcterms:created xsi:type="dcterms:W3CDTF">2026-01-13T09:55:00Z</dcterms:created>
  <dcterms:modified xsi:type="dcterms:W3CDTF">2026-01-13T09:57:00Z</dcterms:modified>
</cp:coreProperties>
</file>